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65074A" w:rsidRPr="00BD1CC1" w14:paraId="43BBF3D8" w14:textId="77777777" w:rsidTr="008658EA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51863DC" w14:textId="77777777" w:rsidR="0065074A" w:rsidRPr="00EC47B6" w:rsidRDefault="0065074A" w:rsidP="00ED7108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382F6B" w:rsidRPr="00BD1CC1" w14:paraId="7027BBD9" w14:textId="77777777" w:rsidTr="008658EA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6884D" w14:textId="21A3481A" w:rsidR="00382F6B" w:rsidRPr="00FF66BF" w:rsidRDefault="00382F6B" w:rsidP="00ED7108">
            <w:pPr>
              <w:pStyle w:val="RefTableData"/>
            </w:pPr>
            <w:r w:rsidRPr="00382F6B">
              <w:t>3418-A</w:t>
            </w:r>
          </w:p>
        </w:tc>
      </w:tr>
    </w:tbl>
    <w:p w14:paraId="74FBA5B4" w14:textId="77777777" w:rsidR="0065074A" w:rsidRDefault="0065074A" w:rsidP="00A672B3">
      <w:pPr>
        <w:pStyle w:val="BodyText"/>
        <w:rPr>
          <w:b/>
          <w:bCs/>
          <w:sz w:val="16"/>
          <w:szCs w:val="16"/>
        </w:rPr>
        <w:sectPr w:rsidR="0065074A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04E2239D" w14:textId="33678CEA" w:rsidR="00920C9B" w:rsidRPr="00041200" w:rsidRDefault="00920C9B" w:rsidP="00ED7108">
      <w:pPr>
        <w:pStyle w:val="Heading1"/>
      </w:pPr>
      <w:bookmarkStart w:id="0" w:name="_Hlk167114767"/>
      <w:r w:rsidRPr="00501A6B">
        <w:t>Specialty Guideline Management</w:t>
      </w:r>
      <w:r w:rsidR="00ED7108">
        <w:br/>
      </w:r>
      <w:bookmarkEnd w:id="0"/>
      <w:r w:rsidR="00382F6B" w:rsidRPr="00382F6B">
        <w:t>Givlaari</w:t>
      </w:r>
    </w:p>
    <w:p w14:paraId="78861C92" w14:textId="301ACC4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F1C916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881759" w:rsidRPr="00881759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1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5088A4B" w:rsidR="00585FFF" w:rsidRPr="00BD1CC1" w:rsidRDefault="00382F6B" w:rsidP="00E82ABA">
            <w:pPr>
              <w:pStyle w:val="TableDataUnpadded"/>
            </w:pPr>
            <w:r w:rsidRPr="00382F6B">
              <w:t>Givlaari</w:t>
            </w:r>
          </w:p>
        </w:tc>
        <w:tc>
          <w:tcPr>
            <w:tcW w:w="5595" w:type="dxa"/>
          </w:tcPr>
          <w:p w14:paraId="7E26A004" w14:textId="6C2CDA91" w:rsidR="00585FFF" w:rsidRPr="00BD1CC1" w:rsidRDefault="00382F6B" w:rsidP="00E82ABA">
            <w:pPr>
              <w:pStyle w:val="TableDataUnpadded"/>
            </w:pPr>
            <w:r w:rsidRPr="00382F6B">
              <w:t>givosiran</w:t>
            </w:r>
          </w:p>
        </w:tc>
      </w:tr>
    </w:tbl>
    <w:bookmarkEnd w:id="1"/>
    <w:p w14:paraId="14CE6108" w14:textId="5603A1D7" w:rsidR="00FC1AAD" w:rsidRDefault="00ED052F" w:rsidP="00ED052F">
      <w:pPr>
        <w:pStyle w:val="Heading2"/>
      </w:pPr>
      <w:r>
        <w:t>Indications</w:t>
      </w:r>
    </w:p>
    <w:p w14:paraId="50F5534C" w14:textId="744FF13D" w:rsidR="00382F6B" w:rsidRPr="00920C9B" w:rsidRDefault="00382F6B" w:rsidP="00ED7108">
      <w:pPr>
        <w:pStyle w:val="BodyText"/>
      </w:pPr>
      <w:r w:rsidRPr="00382F6B">
        <w:t xml:space="preserve">The indications below </w:t>
      </w:r>
      <w:r w:rsidRPr="00ED7108">
        <w:t>including</w:t>
      </w:r>
      <w:r w:rsidRPr="00382F6B">
        <w:t xml:space="preserve"> FDA-approved indications and compendial uses are considered a covered benefit provided that all the approval criteria are met and the member has no exclusions to the prescribed therapy.</w:t>
      </w:r>
    </w:p>
    <w:p w14:paraId="134B5687" w14:textId="72EC60F9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</w:p>
    <w:p w14:paraId="7A7BF966" w14:textId="3DEE1A96" w:rsidR="00382F6B" w:rsidRDefault="00382F6B" w:rsidP="00ED7108">
      <w:pPr>
        <w:pStyle w:val="BodyText"/>
      </w:pPr>
      <w:r>
        <w:t>Givlaari is indicated for the treatment of adults with acute hepatic porphyria (AHP).</w:t>
      </w:r>
    </w:p>
    <w:p w14:paraId="18A343FD" w14:textId="34BD92B4" w:rsidR="00382F6B" w:rsidRDefault="00382F6B" w:rsidP="00ED7108">
      <w:pPr>
        <w:pStyle w:val="BodyText"/>
      </w:pPr>
      <w:r>
        <w:t>All other indications are considered experimental/investigational and not medically necessary</w:t>
      </w:r>
      <w:r w:rsidR="00ED7108">
        <w:t>.</w:t>
      </w:r>
    </w:p>
    <w:p w14:paraId="7C68A8DF" w14:textId="0F5CE51C" w:rsidR="002C0B97" w:rsidRDefault="00382F6B" w:rsidP="002C0B97">
      <w:pPr>
        <w:pStyle w:val="Heading2"/>
      </w:pPr>
      <w:r>
        <w:t>Documentation</w:t>
      </w:r>
    </w:p>
    <w:p w14:paraId="5471CEDD" w14:textId="77777777" w:rsidR="00382F6B" w:rsidRPr="00ED7108" w:rsidRDefault="00382F6B" w:rsidP="00ED7108">
      <w:pPr>
        <w:pStyle w:val="BodyText"/>
      </w:pPr>
      <w:r w:rsidRPr="00ED7108">
        <w:t>Submission of the following information is necessary to initiate the prior authorization review:</w:t>
      </w:r>
    </w:p>
    <w:p w14:paraId="7FCC28ED" w14:textId="5F58AF3D" w:rsidR="00382F6B" w:rsidRPr="00ED7108" w:rsidRDefault="00DA7717" w:rsidP="00ED7108">
      <w:pPr>
        <w:pStyle w:val="BodyText"/>
      </w:pPr>
      <w:r>
        <w:t xml:space="preserve">For initial requests: </w:t>
      </w:r>
      <w:r w:rsidR="00382F6B" w:rsidRPr="00ED7108">
        <w:t>Elevated porphobilinogen (PBG) in the urine confirmed by a PBG quantitative random urine test, or an elevated porphyrin level (plasma or fecal).</w:t>
      </w:r>
    </w:p>
    <w:p w14:paraId="56E8C41F" w14:textId="6464AB7E" w:rsidR="00382F6B" w:rsidRPr="00ED7108" w:rsidRDefault="00685107" w:rsidP="00382F6B">
      <w:pPr>
        <w:pStyle w:val="Heading2"/>
        <w:rPr>
          <w:color w:val="000000" w:themeColor="text1"/>
        </w:rPr>
      </w:pPr>
      <w:r w:rsidRPr="00ED7108">
        <w:rPr>
          <w:color w:val="000000" w:themeColor="text1"/>
        </w:rPr>
        <w:lastRenderedPageBreak/>
        <w:t>Coverage Criteria</w:t>
      </w:r>
    </w:p>
    <w:p w14:paraId="1AFA8873" w14:textId="1C9B9002" w:rsidR="00382F6B" w:rsidRDefault="00382F6B" w:rsidP="002E1A7D">
      <w:pPr>
        <w:pStyle w:val="Heading3"/>
      </w:pPr>
      <w:r>
        <w:t>Acute Hepatic Porphyria</w:t>
      </w:r>
    </w:p>
    <w:p w14:paraId="1851633F" w14:textId="77777777" w:rsidR="00382F6B" w:rsidRDefault="00382F6B" w:rsidP="00ED7108">
      <w:pPr>
        <w:pStyle w:val="BodyText"/>
      </w:pPr>
      <w:r>
        <w:t>Authorization of 12 months may be granted for treatment of acute hepatic porphyria when all of the following criteria are met:</w:t>
      </w:r>
    </w:p>
    <w:p w14:paraId="05591599" w14:textId="5015F9C0" w:rsidR="00382F6B" w:rsidRPr="00ED7108" w:rsidRDefault="00382F6B" w:rsidP="00ED7108">
      <w:pPr>
        <w:pStyle w:val="ListParagraph"/>
        <w:numPr>
          <w:ilvl w:val="0"/>
          <w:numId w:val="29"/>
        </w:numPr>
        <w:contextualSpacing w:val="0"/>
      </w:pPr>
      <w:r w:rsidRPr="00ED7108">
        <w:t>The member is actively symptomatic</w:t>
      </w:r>
      <w:r w:rsidR="00DA7717">
        <w:t xml:space="preserve"> </w:t>
      </w:r>
      <w:bookmarkStart w:id="2" w:name="_Hlk174438488"/>
      <w:r w:rsidR="00DA7717" w:rsidRPr="00DA7717">
        <w:t>(e.g., porphyria attacks requiring hospitalization, urgent healthcare visits, or intravenous hemin administration)</w:t>
      </w:r>
      <w:bookmarkEnd w:id="2"/>
      <w:r w:rsidR="00DA7717">
        <w:t>, or the member has experienced 4 or more porphyria attacks per year.</w:t>
      </w:r>
    </w:p>
    <w:p w14:paraId="5AA4BF27" w14:textId="5D85C6FC" w:rsidR="00382F6B" w:rsidRPr="00ED7108" w:rsidRDefault="00382F6B" w:rsidP="00ED7108">
      <w:pPr>
        <w:pStyle w:val="ListParagraph"/>
        <w:numPr>
          <w:ilvl w:val="0"/>
          <w:numId w:val="29"/>
        </w:numPr>
        <w:contextualSpacing w:val="0"/>
      </w:pPr>
      <w:r w:rsidRPr="00ED7108">
        <w:t>The member has an elevated urine porphobilinogen (PBG), or an elevated porphyrin level (plasma or fecal).</w:t>
      </w:r>
    </w:p>
    <w:p w14:paraId="034A965C" w14:textId="7383A64D" w:rsidR="002C0B97" w:rsidRDefault="00A501AC" w:rsidP="00382F6B">
      <w:pPr>
        <w:pStyle w:val="Heading2"/>
      </w:pPr>
      <w:r w:rsidRPr="00BD1CC1">
        <w:t>Continuation of Therapy</w:t>
      </w:r>
    </w:p>
    <w:p w14:paraId="3F594DC5" w14:textId="6F288A66" w:rsidR="00382F6B" w:rsidRPr="003D46B0" w:rsidRDefault="00382F6B" w:rsidP="00ED7108">
      <w:pPr>
        <w:pStyle w:val="BodyText"/>
      </w:pPr>
      <w:r w:rsidRPr="00382F6B">
        <w:t xml:space="preserve">Authorization of 12 months may be granted for continued treatment of an indication listed in the coverage criteria section for members who are experiencing </w:t>
      </w:r>
      <w:r w:rsidRPr="00ED7108">
        <w:t>benefit</w:t>
      </w:r>
      <w:r w:rsidRPr="00382F6B">
        <w:t xml:space="preserve"> from therapy while receiving Givlaari (e.g., reduction in porphyria attacks that required hospitalizations, urgent healthcare visit, or intravenous hemin administration).</w:t>
      </w:r>
    </w:p>
    <w:p w14:paraId="0A275F8B" w14:textId="0513DA51" w:rsidR="000E0438" w:rsidRPr="008D1B34" w:rsidRDefault="000E0438" w:rsidP="000E0438">
      <w:pPr>
        <w:pStyle w:val="Heading2"/>
      </w:pPr>
      <w:r w:rsidRPr="008D1B34">
        <w:t>References</w:t>
      </w:r>
    </w:p>
    <w:p w14:paraId="47E1A10C" w14:textId="4C7BEB35" w:rsidR="00C44990" w:rsidRDefault="00382F6B" w:rsidP="000F7F79">
      <w:pPr>
        <w:pStyle w:val="ReferenceOrdered"/>
      </w:pPr>
      <w:r>
        <w:t xml:space="preserve">Givlaari [package insert]. Cambridge, MA: Alnylam Pharmaceuticals; </w:t>
      </w:r>
      <w:r w:rsidR="00DA7717">
        <w:t>April</w:t>
      </w:r>
      <w:r>
        <w:t xml:space="preserve"> 202</w:t>
      </w:r>
      <w:r w:rsidR="00DA7717">
        <w:t>4</w:t>
      </w:r>
      <w:r>
        <w:t>.</w:t>
      </w:r>
    </w:p>
    <w:p w14:paraId="652EDC09" w14:textId="325512C1" w:rsidR="00DA7717" w:rsidRPr="000F7F79" w:rsidRDefault="00C65F2B" w:rsidP="00C65F2B">
      <w:pPr>
        <w:pStyle w:val="ReferenceOrdered"/>
      </w:pPr>
      <w:r w:rsidRPr="00C65F2B">
        <w:t xml:space="preserve">Wang B, </w:t>
      </w:r>
      <w:proofErr w:type="spellStart"/>
      <w:r w:rsidRPr="00C65F2B">
        <w:t>Bonkovsky</w:t>
      </w:r>
      <w:proofErr w:type="spellEnd"/>
      <w:r w:rsidRPr="00C65F2B">
        <w:t xml:space="preserve"> HL, Lim JK, Balwani M. AGA Clinical Practice Update on Diagnosis and Management of Acute Hepatic </w:t>
      </w:r>
      <w:proofErr w:type="spellStart"/>
      <w:r w:rsidRPr="00C65F2B">
        <w:t>Porphyrias</w:t>
      </w:r>
      <w:proofErr w:type="spellEnd"/>
      <w:r w:rsidRPr="00C65F2B">
        <w:t>: Expert Review. Gastroenterology. 2023 Mar;164(3):484-491.</w:t>
      </w:r>
    </w:p>
    <w:sectPr w:rsidR="00DA7717" w:rsidRPr="000F7F79" w:rsidSect="000D5B18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94B3" w14:textId="77777777" w:rsidR="00CB4CF0" w:rsidRDefault="00CB4CF0">
      <w:r>
        <w:separator/>
      </w:r>
    </w:p>
  </w:endnote>
  <w:endnote w:type="continuationSeparator" w:id="0">
    <w:p w14:paraId="15F6AC75" w14:textId="77777777" w:rsidR="00CB4CF0" w:rsidRDefault="00CB4CF0">
      <w:r>
        <w:continuationSeparator/>
      </w:r>
    </w:p>
  </w:endnote>
  <w:endnote w:type="continuationNotice" w:id="1">
    <w:p w14:paraId="247E887E" w14:textId="77777777" w:rsidR="00CB4CF0" w:rsidRDefault="00CB4C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54F9A26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D5B18" w:rsidRPr="000D5B18">
      <w:rPr>
        <w:rFonts w:cs="Arial"/>
        <w:noProof/>
        <w:sz w:val="16"/>
        <w:szCs w:val="16"/>
      </w:rPr>
      <w:t>Givlaari</w:t>
    </w:r>
    <w:r w:rsidR="000D5B18">
      <w:rPr>
        <w:rFonts w:cs="Arial"/>
        <w:noProof/>
        <w:snapToGrid w:val="0"/>
        <w:color w:val="000000"/>
        <w:sz w:val="16"/>
        <w:szCs w:val="16"/>
      </w:rPr>
      <w:t xml:space="preserve"> SGM 3418-A</w:t>
    </w:r>
    <w:r w:rsidR="000D5B18" w:rsidRPr="000D5B18">
      <w:rPr>
        <w:rFonts w:cs="Arial"/>
        <w:noProof/>
        <w:sz w:val="16"/>
        <w:szCs w:val="16"/>
      </w:rPr>
      <w:t xml:space="preserve"> P2024</w:t>
    </w:r>
    <w:r w:rsidR="000D5B18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537D15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9D96D02" w:rsidR="00F75C81" w:rsidRPr="00AA1E6A" w:rsidRDefault="00C36B72" w:rsidP="000D5B1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F6F428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703DF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C594E" w:rsidRPr="001C594E">
      <w:rPr>
        <w:rFonts w:cs="Arial"/>
        <w:noProof/>
        <w:sz w:val="16"/>
        <w:szCs w:val="16"/>
        <w:lang w:val="it-IT"/>
      </w:rPr>
      <w:t>Givlaari</w:t>
    </w:r>
    <w:r w:rsidR="001C594E">
      <w:rPr>
        <w:rFonts w:cs="Arial"/>
        <w:noProof/>
        <w:snapToGrid w:val="0"/>
        <w:color w:val="000000"/>
        <w:sz w:val="16"/>
        <w:szCs w:val="16"/>
        <w:lang w:val="it-IT"/>
      </w:rPr>
      <w:t xml:space="preserve"> SGM</w:t>
    </w:r>
    <w:r w:rsidR="001C594E" w:rsidRPr="001C594E">
      <w:rPr>
        <w:rFonts w:cs="Arial"/>
        <w:noProof/>
        <w:sz w:val="16"/>
        <w:szCs w:val="16"/>
        <w:lang w:val="it-IT"/>
      </w:rPr>
      <w:t xml:space="preserve"> </w:t>
    </w:r>
    <w:r w:rsidR="001C594E">
      <w:rPr>
        <w:rFonts w:cs="Arial"/>
        <w:noProof/>
        <w:snapToGrid w:val="0"/>
        <w:color w:val="000000"/>
        <w:sz w:val="16"/>
        <w:szCs w:val="16"/>
        <w:lang w:val="it-IT"/>
      </w:rPr>
      <w:t xml:space="preserve">3418-A </w:t>
    </w:r>
    <w:r w:rsidR="00A76C32">
      <w:rPr>
        <w:rFonts w:cs="Arial"/>
        <w:noProof/>
        <w:snapToGrid w:val="0"/>
        <w:color w:val="000000"/>
        <w:sz w:val="16"/>
        <w:szCs w:val="16"/>
        <w:lang w:val="it-IT"/>
      </w:rPr>
      <w:t>P</w:t>
    </w:r>
    <w:r w:rsidR="001C594E" w:rsidRPr="001C594E">
      <w:rPr>
        <w:rFonts w:cs="Arial"/>
        <w:noProof/>
        <w:sz w:val="16"/>
        <w:szCs w:val="16"/>
        <w:lang w:val="it-IT"/>
      </w:rPr>
      <w:t>202</w:t>
    </w:r>
    <w:r w:rsidR="00DA7717">
      <w:rPr>
        <w:rFonts w:cs="Arial"/>
        <w:noProof/>
        <w:sz w:val="16"/>
        <w:szCs w:val="16"/>
        <w:lang w:val="it-IT"/>
      </w:rPr>
      <w:t>4</w:t>
    </w:r>
    <w:r w:rsidR="001C594E" w:rsidRPr="001C594E">
      <w:rPr>
        <w:rFonts w:cs="Arial"/>
        <w:noProof/>
        <w:sz w:val="16"/>
        <w:szCs w:val="16"/>
        <w:lang w:val="it-IT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A703DF">
      <w:rPr>
        <w:rFonts w:cs="Arial"/>
        <w:snapToGrid w:val="0"/>
        <w:color w:val="000000"/>
        <w:sz w:val="16"/>
        <w:lang w:val="it-IT"/>
      </w:rPr>
      <w:tab/>
      <w:t>© 202</w:t>
    </w:r>
    <w:r w:rsidR="00D74279" w:rsidRPr="00A703DF">
      <w:rPr>
        <w:rFonts w:cs="Arial"/>
        <w:snapToGrid w:val="0"/>
        <w:color w:val="000000"/>
        <w:sz w:val="16"/>
        <w:lang w:val="it-IT"/>
      </w:rPr>
      <w:t>4</w:t>
    </w:r>
    <w:r w:rsidRPr="00A703DF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57FD8E0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3594957" w:rsidR="00ED04EC" w:rsidRPr="00F50D98" w:rsidRDefault="00F50D98" w:rsidP="000F7F7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7D2B6" w14:textId="77777777" w:rsidR="00CB4CF0" w:rsidRDefault="00CB4CF0">
      <w:r>
        <w:separator/>
      </w:r>
    </w:p>
  </w:footnote>
  <w:footnote w:type="continuationSeparator" w:id="0">
    <w:p w14:paraId="55F572A5" w14:textId="77777777" w:rsidR="00CB4CF0" w:rsidRDefault="00CB4CF0">
      <w:r>
        <w:continuationSeparator/>
      </w:r>
    </w:p>
  </w:footnote>
  <w:footnote w:type="continuationNotice" w:id="1">
    <w:p w14:paraId="4F9A46C4" w14:textId="77777777" w:rsidR="00CB4CF0" w:rsidRDefault="00CB4C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7108" w:rsidRPr="00ED7108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ED7108" w:rsidRDefault="00ED04EC" w:rsidP="00ED7108">
          <w:pPr>
            <w:pStyle w:val="RefTableData"/>
            <w:rPr>
              <w:color w:val="000000" w:themeColor="text1"/>
            </w:rPr>
          </w:pPr>
          <w:r w:rsidRPr="00ED7108">
            <w:rPr>
              <w:color w:val="000000" w:themeColor="text1"/>
            </w:rPr>
            <w:t>Reference number(s)</w:t>
          </w:r>
        </w:p>
      </w:tc>
    </w:tr>
    <w:tr w:rsidR="00ED7108" w:rsidRPr="00ED7108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7710B9F" w:rsidR="00ED04EC" w:rsidRPr="00ED7108" w:rsidRDefault="00382F6B" w:rsidP="00ED7108">
          <w:pPr>
            <w:pStyle w:val="RefTableData"/>
            <w:rPr>
              <w:color w:val="000000" w:themeColor="text1"/>
            </w:rPr>
          </w:pPr>
          <w:r w:rsidRPr="00ED7108">
            <w:rPr>
              <w:color w:val="000000" w:themeColor="text1"/>
            </w:rPr>
            <w:t>3418-A</w:t>
          </w:r>
        </w:p>
      </w:tc>
    </w:tr>
  </w:tbl>
  <w:p w14:paraId="0D5ACCC2" w14:textId="2267F284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1310C3DE" w:rsidR="000F5383" w:rsidRPr="00121DAD" w:rsidRDefault="00382F6B" w:rsidP="00920C9B">
          <w:pPr>
            <w:pStyle w:val="Header"/>
            <w:jc w:val="center"/>
            <w:rPr>
              <w:rFonts w:cs="Arial"/>
              <w:sz w:val="16"/>
              <w:szCs w:val="16"/>
            </w:rPr>
          </w:pPr>
          <w:r w:rsidRPr="00382F6B">
            <w:rPr>
              <w:rFonts w:cs="Arial"/>
              <w:sz w:val="16"/>
              <w:szCs w:val="16"/>
            </w:rPr>
            <w:t>3418-A</w:t>
          </w:r>
        </w:p>
      </w:tc>
    </w:tr>
  </w:tbl>
  <w:p w14:paraId="5ACB788B" w14:textId="33F344F6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D3E13A0"/>
    <w:multiLevelType w:val="multilevel"/>
    <w:tmpl w:val="2882661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E067239"/>
    <w:multiLevelType w:val="multilevel"/>
    <w:tmpl w:val="288266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5613A"/>
    <w:multiLevelType w:val="hybridMultilevel"/>
    <w:tmpl w:val="59FC8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237B2"/>
    <w:multiLevelType w:val="hybridMultilevel"/>
    <w:tmpl w:val="E87E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7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8"/>
  </w:num>
  <w:num w:numId="26" w16cid:durableId="1005326294">
    <w:abstractNumId w:val="19"/>
  </w:num>
  <w:num w:numId="27" w16cid:durableId="467863121">
    <w:abstractNumId w:val="15"/>
  </w:num>
  <w:num w:numId="28" w16cid:durableId="1784227185">
    <w:abstractNumId w:val="16"/>
  </w:num>
  <w:num w:numId="29" w16cid:durableId="1002197705">
    <w:abstractNumId w:val="20"/>
  </w:num>
  <w:num w:numId="30" w16cid:durableId="115684171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28"/>
    <w:rsid w:val="000D4EA4"/>
    <w:rsid w:val="000D5101"/>
    <w:rsid w:val="000D5978"/>
    <w:rsid w:val="000D5B1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F79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725"/>
    <w:rsid w:val="00150AFC"/>
    <w:rsid w:val="00151DA8"/>
    <w:rsid w:val="00152135"/>
    <w:rsid w:val="00152F00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94E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477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0DAC"/>
    <w:rsid w:val="0023264B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CA3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0B97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1C1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A7D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2F6B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075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2BF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6CAF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538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91E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0AA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95C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74A"/>
    <w:rsid w:val="00650ADD"/>
    <w:rsid w:val="00651CAA"/>
    <w:rsid w:val="00652357"/>
    <w:rsid w:val="006525F5"/>
    <w:rsid w:val="00652D56"/>
    <w:rsid w:val="00653B49"/>
    <w:rsid w:val="0065581E"/>
    <w:rsid w:val="00655AEE"/>
    <w:rsid w:val="00655D2B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843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AE8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887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92"/>
    <w:rsid w:val="007A3667"/>
    <w:rsid w:val="007A529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39F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D0A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759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580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C9B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238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3DF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6C32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734"/>
    <w:rsid w:val="00B06E83"/>
    <w:rsid w:val="00B06EC1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D81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8E1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1C2E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33D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5F2B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4CF0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5E5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97F62"/>
    <w:rsid w:val="00DA05D5"/>
    <w:rsid w:val="00DA0924"/>
    <w:rsid w:val="00DA29A1"/>
    <w:rsid w:val="00DA2BE1"/>
    <w:rsid w:val="00DA2FBC"/>
    <w:rsid w:val="00DA3D4A"/>
    <w:rsid w:val="00DA420D"/>
    <w:rsid w:val="00DA52B5"/>
    <w:rsid w:val="00DA5F0A"/>
    <w:rsid w:val="00DA640C"/>
    <w:rsid w:val="00DA6BAC"/>
    <w:rsid w:val="00DA7269"/>
    <w:rsid w:val="00DA7717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730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0324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108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4BA4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B2B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BE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6B82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65074A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65074A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65074A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65074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75ACFE-777F-486B-B0D7-C7330AD1240D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Givlaari 3418-A SGM 2023</vt:lpstr>
    </vt:vector>
  </TitlesOfParts>
  <Company>PCS Health Systems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Givlaari SGM 3418-A P2024_R</dc:title>
  <dc:subject/>
  <dc:creator>CVS Caremark</dc:creator>
  <cp:keywords/>
  <cp:lastModifiedBy>Huerta, Linda M</cp:lastModifiedBy>
  <cp:revision>4</cp:revision>
  <cp:lastPrinted>2018-01-09T05:01:00Z</cp:lastPrinted>
  <dcterms:created xsi:type="dcterms:W3CDTF">2025-01-11T15:18:00Z</dcterms:created>
  <dcterms:modified xsi:type="dcterms:W3CDTF">2025-01-24T21:32:00Z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12716600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